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jc w:val="center"/>
      </w:pPr>
      <w:r>
        <w:rPr>
          <w:b/>
          <w:bCs/>
        </w:rPr>
        <w:t xml:space="preserve">Quantified Cyber Risk Management</w:t>
      </w:r>
    </w:p>
    <w:p>
      <w:pPr>
        <w:spacing w:after="300"/>
        <w:jc w:val="center"/>
      </w:pPr>
      <w:r>
        <w:rPr>
          <w:i/>
          <w:iCs/>
        </w:rPr>
        <w:t xml:space="preserve">Quantified cyber risk compliance matrix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p>
            <w:r>
              <w:rPr>
                <w:b/>
                <w:bCs/>
              </w:rPr>
              <w:t xml:space="preserve">Prepared by</w:t>
            </w:r>
          </w:p>
        </w:tc>
        <w:tc>
          <w:p>
            <w:r>
              <w:t xml:space="preserve">Dephiant Consulting Inc.</w:t>
            </w:r>
          </w:p>
        </w:tc>
      </w:tr>
      <w:tr>
        <w:tc>
          <w:p>
            <w:r>
              <w:rPr>
                <w:b/>
                <w:bCs/>
              </w:rPr>
              <w:t xml:space="preserve">Service</w:t>
            </w:r>
          </w:p>
        </w:tc>
        <w:tc>
          <w:p>
            <w:r>
              <w:t xml:space="preserve">Quantified Cyber Risk Management</w:t>
            </w:r>
          </w:p>
        </w:tc>
      </w:tr>
      <w:tr>
        <w:tc>
          <w:p>
            <w:r>
              <w:rPr>
                <w:b/>
                <w:bCs/>
              </w:rPr>
              <w:t xml:space="preserve">Contact</w:t>
            </w:r>
          </w:p>
        </w:tc>
        <w:tc>
          <w:p>
            <w:r>
              <w:t xml:space="preserve">info@dephiantconsultinginc.com</w:t>
            </w:r>
          </w:p>
        </w:tc>
      </w:tr>
      <w:tr>
        <w:tc>
          <w:p>
            <w:r>
              <w:rPr>
                <w:b/>
                <w:bCs/>
              </w:rPr>
              <w:t xml:space="preserve">Generated</w:t>
            </w:r>
          </w:p>
        </w:tc>
        <w:tc>
          <w:p>
            <w:r>
              <w:t xml:space="preserve">2026-09-21</w:t>
            </w:r>
          </w:p>
        </w:tc>
      </w:tr>
    </w:tbl>
    <w:p>
      <w:pPr>
        <w:pStyle w:val="Heading1"/>
        <w:pageBreakBefore/>
        <w:spacing w:after="160"/>
      </w:pPr>
      <w:r>
        <w:rPr>
          <w:b/>
          <w:bCs/>
        </w:rPr>
        <w:t xml:space="preserve">Quantified cyber risk compliance matrix</w:t>
      </w:r>
    </w:p>
    <w:p>
      <w:pPr>
        <w:spacing w:after="120"/>
      </w:pPr>
      <w:r>
        <w:t xml:space="preserve">Compliance matrix</w:t>
      </w:r>
    </w:p>
    <w:p>
      <w:pPr>
        <w:pStyle w:val="Heading3"/>
        <w:spacing w:after="100" w:before="200"/>
      </w:pPr>
      <w:r>
        <w:rPr>
          <w:b/>
          <w:bCs/>
        </w:rPr>
        <w:t xml:space="preserve">Quantified cyber risk assessment</w:t>
      </w:r>
    </w:p>
    <w:p>
      <w:pPr>
        <w:spacing w:after="120"/>
      </w:pPr>
      <w:r>
        <w:t xml:space="preserve">This matrix shows how the engagement maps to common control frameworks and regulatory expectations. Confirm the applicable set with your compliance lead before use.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  <w:gridCol w:w="100"/>
        <w:gridCol w:w="100"/>
      </w:tblGrid>
      <w:tr>
        <w:tc>
          <w:p>
            <w:r>
              <w:rPr>
                <w:b/>
                <w:bCs/>
                <w:sz w:val="20"/>
                <w:szCs w:val="20"/>
              </w:rPr>
              <w:t xml:space="preserve">ID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Requirement or expectation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Source reference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Engagement deliverable</w:t>
            </w:r>
          </w:p>
        </w:tc>
        <w:tc>
          <w:p>
            <w:r>
              <w:rPr>
                <w:b/>
                <w:bCs/>
                <w:sz w:val="20"/>
                <w:szCs w:val="20"/>
              </w:rPr>
              <w:t xml:space="preserve">Owner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R-01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Identify and document cyber risks to the organization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NIST CSF Identify, ID.RA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Loss scenario register and quantified model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Advisory lead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R-02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Assess and prioritize risk using a repeatable method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ISO 27001 Clause 6.1.2, 6.1.3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Documented method, assumptions, and treatment plan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Advisory lead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R-03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Report risk to governing bodies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NIST CSF Govern, GV.OV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Board and executive reporting pack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Accountable executive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R-04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Maintain a risk assessment that is reviewed and updated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ISO 27001 Clause 8.2, 9.3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Refresh schedule and re-measurement procedure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Risk owner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R-05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Assess risk arising from third parties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NIST CSF GV.SC, ISO 27001 A.5.19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Vendor compromise scenario and vendor assurance indicator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Third party risk owner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R-06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Assess risk to personal data processing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GDPR Article 32 and Article 35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Cloud data exposure scenario and data mapping input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Data protection lead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R-07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Demonstrate operational resilience and impact tolerance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DORA Chapter II, NIS2 Article 21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Business interruption loss forms and restore coverage indicator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Resilience owner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R-08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Define measurable security performance indicators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NIST CSF GV.OV, SOC 2 CC3 and CC4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Key risk and control indicator set with thresholds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Security lead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R-09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Link investment decisions to risk reduction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ISO 27001 Clause 6.1.3 e, NIST CSF GV.RM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Prioritized treatment plan with expected exposure reduction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Finance and security leads</w:t>
            </w:r>
          </w:p>
        </w:tc>
      </w:tr>
      <w:tr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R-10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Retain evidence of risk decisions and acceptance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SOC 2 CC3, ISO 27001 Clause 5.3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Decision log and signed acceptance record</w:t>
            </w:r>
          </w:p>
        </w:tc>
        <w:tc>
          <w:p>
            <w:r>
              <w:rPr>
                <w:b w:val="false"/>
                <w:bCs w:val="false"/>
                <w:sz w:val="20"/>
                <w:szCs w:val="20"/>
              </w:rPr>
              <w:t xml:space="preserve">Accountable executive</w:t>
            </w:r>
          </w:p>
        </w:tc>
      </w:tr>
    </w:tbl>
    <w:p>
      <w:pPr>
        <w:pStyle w:val="Heading3"/>
        <w:spacing w:after="100" w:before="200"/>
      </w:pPr>
      <w:r>
        <w:rPr>
          <w:b/>
          <w:bCs/>
        </w:rPr>
        <w:t xml:space="preserve">Items to confirm with the client</w:t>
      </w:r>
    </w:p>
    <w:p>
      <w:pPr>
        <w:spacing w:after="80"/>
      </w:pPr>
      <w:r>
        <w:t xml:space="preserve">1. The regulatory set that applies across every operating region</w:t>
      </w:r>
    </w:p>
    <w:p>
      <w:pPr>
        <w:spacing w:after="80"/>
      </w:pPr>
      <w:r>
        <w:t xml:space="preserve">2. The internal risk appetite statement and thresholds already approved</w:t>
      </w:r>
    </w:p>
    <w:p>
      <w:pPr>
        <w:spacing w:after="80"/>
      </w:pPr>
      <w:r>
        <w:t xml:space="preserve">3. Existing audit findings that the model must address</w:t>
      </w:r>
    </w:p>
    <w:p>
      <w:pPr>
        <w:spacing w:after="80"/>
      </w:pPr>
      <w:r>
        <w:t xml:space="preserve">4. The reporting cycle the board already runs on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2026-09-21T19:29:55.256Z</dcterms:created>
  <dcterms:modified xsi:type="dcterms:W3CDTF">2026-09-21T19:29:55.256Z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