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rPr>
          <w:b/>
          <w:bCs/>
        </w:rPr>
        <w:t xml:space="preserve">Quantified Cyber Risk Management</w:t>
      </w:r>
    </w:p>
    <w:p>
      <w:pPr>
        <w:spacing w:after="300"/>
        <w:jc w:val="center"/>
      </w:pPr>
      <w:r>
        <w:rPr>
          <w:i/>
          <w:iCs/>
        </w:rPr>
        <w:t xml:space="preserve">Quantified cyber risk budget narrative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p>
            <w:r>
              <w:rPr>
                <w:b/>
                <w:bCs/>
              </w:rPr>
              <w:t xml:space="preserve">Prepared by</w:t>
            </w:r>
          </w:p>
        </w:tc>
        <w:tc>
          <w:p>
            <w:r>
              <w:t xml:space="preserve">Dephiant Consulting Inc.</w:t>
            </w:r>
          </w:p>
        </w:tc>
      </w:tr>
      <w:tr>
        <w:tc>
          <w:p>
            <w:r>
              <w:rPr>
                <w:b/>
                <w:bCs/>
              </w:rPr>
              <w:t xml:space="preserve">Service</w:t>
            </w:r>
          </w:p>
        </w:tc>
        <w:tc>
          <w:p>
            <w:r>
              <w:t xml:space="preserve">Quantified Cyber Risk Management</w:t>
            </w:r>
          </w:p>
        </w:tc>
      </w:tr>
      <w:tr>
        <w:tc>
          <w:p>
            <w:r>
              <w:rPr>
                <w:b/>
                <w:bCs/>
              </w:rPr>
              <w:t xml:space="preserve">Contact</w:t>
            </w:r>
          </w:p>
        </w:tc>
        <w:tc>
          <w:p>
            <w:r>
              <w:t xml:space="preserve">info@dephiantconsultinginc.com</w:t>
            </w:r>
          </w:p>
        </w:tc>
      </w:tr>
      <w:tr>
        <w:tc>
          <w:p>
            <w:r>
              <w:rPr>
                <w:b/>
                <w:bCs/>
              </w:rPr>
              <w:t xml:space="preserve">Generated</w:t>
            </w:r>
          </w:p>
        </w:tc>
        <w:tc>
          <w:p>
            <w:r>
              <w:t xml:space="preserve">2026-09-21</w:t>
            </w:r>
          </w:p>
        </w:tc>
      </w:tr>
    </w:tbl>
    <w:p>
      <w:pPr>
        <w:pStyle w:val="Heading1"/>
        <w:pageBreakBefore/>
        <w:spacing w:after="160"/>
      </w:pPr>
      <w:r>
        <w:rPr>
          <w:b/>
          <w:bCs/>
        </w:rPr>
        <w:t xml:space="preserve">Quantified cyber risk budget narrative</w:t>
      </w:r>
    </w:p>
    <w:p>
      <w:pPr>
        <w:spacing w:after="120"/>
      </w:pPr>
      <w:r>
        <w:t xml:space="preserve">Budget narrative</w:t>
      </w:r>
    </w:p>
    <w:p>
      <w:pPr>
        <w:pStyle w:val="Heading3"/>
        <w:spacing w:after="100" w:before="200"/>
      </w:pPr>
      <w:r>
        <w:rPr>
          <w:b/>
          <w:bCs/>
        </w:rPr>
        <w:t xml:space="preserve">Quantified cyber risk assessment</w:t>
      </w:r>
    </w:p>
    <w:p>
      <w:pPr>
        <w:spacing w:after="120"/>
      </w:pPr>
      <w:r>
        <w:t xml:space="preserve">Prepared by Dephiant Consulting Inc. Replace every bracketed amount with the figures agreed in writing.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sz w:val="20"/>
                <w:szCs w:val="20"/>
              </w:rPr>
              <w:t xml:space="preserve">Category</w:t>
            </w:r>
          </w:p>
        </w:tc>
        <w:tc>
          <w:p>
            <w:r>
              <w:rPr>
                <w:b/>
                <w:bCs/>
                <w:sz w:val="20"/>
                <w:szCs w:val="20"/>
              </w:rPr>
              <w:t xml:space="preserve">Basis of estimate</w:t>
            </w:r>
          </w:p>
        </w:tc>
        <w:tc>
          <w:p>
            <w:r>
              <w:rPr>
                <w:b/>
                <w:bCs/>
                <w:sz w:val="20"/>
                <w:szCs w:val="20"/>
              </w:rPr>
              <w:t xml:space="preserve">Phase 1</w:t>
            </w:r>
          </w:p>
        </w:tc>
        <w:tc>
          <w:p>
            <w:r>
              <w:rPr>
                <w:b/>
                <w:bCs/>
                <w:sz w:val="20"/>
                <w:szCs w:val="20"/>
              </w:rPr>
              <w:t xml:space="preserve">Refresh cycle</w:t>
            </w:r>
          </w:p>
        </w:tc>
        <w:tc>
          <w:p>
            <w:r>
              <w:rPr>
                <w:b/>
                <w:bCs/>
                <w:sz w:val="20"/>
                <w:szCs w:val="20"/>
              </w:rPr>
              <w:t xml:space="preserve">Total</w:t>
            </w:r>
          </w:p>
        </w:tc>
      </w:tr>
      <w:tr>
        <w:tc>
          <w:p>
            <w:r>
              <w:rPr>
                <w:b w:val="false"/>
                <w:bCs w:val="false"/>
                <w:sz w:val="20"/>
                <w:szCs w:val="20"/>
              </w:rPr>
              <w:t xml:space="preserve">Senior advisory time, framing and scoping</w:t>
            </w:r>
          </w:p>
        </w:tc>
        <w:tc>
          <w:p>
            <w:r>
              <w:rPr>
                <w:b w:val="false"/>
                <w:bCs w:val="false"/>
                <w:sz w:val="20"/>
                <w:szCs w:val="20"/>
              </w:rPr>
              <w:t xml:space="preserve">Fixed fee for workshops, decision framing, and data source review</w:t>
            </w:r>
          </w:p>
        </w:tc>
        <w:tc>
          <w:p>
            <w:r>
              <w:rPr>
                <w:b w:val="false"/>
                <w:bCs w:val="false"/>
                <w:sz w:val="20"/>
                <w:szCs w:val="20"/>
              </w:rPr>
              <w:t xml:space="preserve">[AMOUNT]</w:t>
            </w:r>
          </w:p>
        </w:tc>
        <w:tc>
          <w:p>
            <w:r>
              <w:rPr>
                <w:b w:val="false"/>
                <w:bCs w:val="false"/>
                <w:sz w:val="20"/>
                <w:szCs w:val="20"/>
              </w:rPr>
              <w:t xml:space="preserve">[AMOUNT]</w:t>
            </w:r>
          </w:p>
        </w:tc>
        <w:tc>
          <w:p>
            <w:r>
              <w:rPr>
                <w:b w:val="false"/>
                <w:bCs w:val="false"/>
                <w:sz w:val="20"/>
                <w:szCs w:val="20"/>
              </w:rPr>
              <w:t xml:space="preserve">[AMOUNT]</w:t>
            </w:r>
          </w:p>
        </w:tc>
      </w:tr>
      <w:tr>
        <w:tc>
          <w:p>
            <w:r>
              <w:rPr>
                <w:b w:val="false"/>
                <w:bCs w:val="false"/>
                <w:sz w:val="20"/>
                <w:szCs w:val="20"/>
              </w:rPr>
              <w:t xml:space="preserve">Risk modeling and quantification</w:t>
            </w:r>
          </w:p>
        </w:tc>
        <w:tc>
          <w:p>
            <w:r>
              <w:rPr>
                <w:b w:val="false"/>
                <w:bCs w:val="false"/>
                <w:sz w:val="20"/>
                <w:szCs w:val="20"/>
              </w:rPr>
              <w:t xml:space="preserve">Fixed fee for scenario construction, calibration, simulation, and sensitivity analysis</w:t>
            </w:r>
          </w:p>
        </w:tc>
        <w:tc>
          <w:p>
            <w:r>
              <w:rPr>
                <w:b w:val="false"/>
                <w:bCs w:val="false"/>
                <w:sz w:val="20"/>
                <w:szCs w:val="20"/>
              </w:rPr>
              <w:t xml:space="preserve">[AMOUNT]</w:t>
            </w:r>
          </w:p>
        </w:tc>
        <w:tc>
          <w:p>
            <w:r>
              <w:rPr>
                <w:b w:val="false"/>
                <w:bCs w:val="false"/>
                <w:sz w:val="20"/>
                <w:szCs w:val="20"/>
              </w:rPr>
              <w:t xml:space="preserve">[AMOUNT]</w:t>
            </w:r>
          </w:p>
        </w:tc>
        <w:tc>
          <w:p>
            <w:r>
              <w:rPr>
                <w:b w:val="false"/>
                <w:bCs w:val="false"/>
                <w:sz w:val="20"/>
                <w:szCs w:val="20"/>
              </w:rPr>
              <w:t xml:space="preserve">[AMOUNT]</w:t>
            </w:r>
          </w:p>
        </w:tc>
      </w:tr>
      <w:tr>
        <w:tc>
          <w:p>
            <w:r>
              <w:rPr>
                <w:b w:val="false"/>
                <w:bCs w:val="false"/>
                <w:sz w:val="20"/>
                <w:szCs w:val="20"/>
              </w:rPr>
              <w:t xml:space="preserve">Control and data analysis</w:t>
            </w:r>
          </w:p>
        </w:tc>
        <w:tc>
          <w:p>
            <w:r>
              <w:rPr>
                <w:b w:val="false"/>
                <w:bCs w:val="false"/>
                <w:sz w:val="20"/>
                <w:szCs w:val="20"/>
              </w:rPr>
              <w:t xml:space="preserve">Fixed fee for control effectiveness review and indicator data preparation</w:t>
            </w:r>
          </w:p>
        </w:tc>
        <w:tc>
          <w:p>
            <w:r>
              <w:rPr>
                <w:b w:val="false"/>
                <w:bCs w:val="false"/>
                <w:sz w:val="20"/>
                <w:szCs w:val="20"/>
              </w:rPr>
              <w:t xml:space="preserve">[AMOUNT]</w:t>
            </w:r>
          </w:p>
        </w:tc>
        <w:tc>
          <w:p>
            <w:r>
              <w:rPr>
                <w:b w:val="false"/>
                <w:bCs w:val="false"/>
                <w:sz w:val="20"/>
                <w:szCs w:val="20"/>
              </w:rPr>
              <w:t xml:space="preserve">[AMOUNT]</w:t>
            </w:r>
          </w:p>
        </w:tc>
        <w:tc>
          <w:p>
            <w:r>
              <w:rPr>
                <w:b w:val="false"/>
                <w:bCs w:val="false"/>
                <w:sz w:val="20"/>
                <w:szCs w:val="20"/>
              </w:rPr>
              <w:t xml:space="preserve">[AMOUNT]</w:t>
            </w:r>
          </w:p>
        </w:tc>
      </w:tr>
      <w:tr>
        <w:tc>
          <w:p>
            <w:r>
              <w:rPr>
                <w:b w:val="false"/>
                <w:bCs w:val="false"/>
                <w:sz w:val="20"/>
                <w:szCs w:val="20"/>
              </w:rPr>
              <w:t xml:space="preserve">Board and executive reporting</w:t>
            </w:r>
          </w:p>
        </w:tc>
        <w:tc>
          <w:p>
            <w:r>
              <w:rPr>
                <w:b w:val="false"/>
                <w:bCs w:val="false"/>
                <w:sz w:val="20"/>
                <w:szCs w:val="20"/>
              </w:rPr>
              <w:t xml:space="preserve">Fixed fee for the reporting pack and the board session</w:t>
            </w:r>
          </w:p>
        </w:tc>
        <w:tc>
          <w:p>
            <w:r>
              <w:rPr>
                <w:b w:val="false"/>
                <w:bCs w:val="false"/>
                <w:sz w:val="20"/>
                <w:szCs w:val="20"/>
              </w:rPr>
              <w:t xml:space="preserve">[AMOUNT]</w:t>
            </w:r>
          </w:p>
        </w:tc>
        <w:tc>
          <w:p>
            <w:r>
              <w:rPr>
                <w:b w:val="false"/>
                <w:bCs w:val="false"/>
                <w:sz w:val="20"/>
                <w:szCs w:val="20"/>
              </w:rPr>
              <w:t xml:space="preserve">[AMOUNT]</w:t>
            </w:r>
          </w:p>
        </w:tc>
        <w:tc>
          <w:p>
            <w:r>
              <w:rPr>
                <w:b w:val="false"/>
                <w:bCs w:val="false"/>
                <w:sz w:val="20"/>
                <w:szCs w:val="20"/>
              </w:rPr>
              <w:t xml:space="preserve">[AMOUNT]</w:t>
            </w:r>
          </w:p>
        </w:tc>
      </w:tr>
      <w:tr>
        <w:tc>
          <w:p>
            <w:r>
              <w:rPr>
                <w:b w:val="false"/>
                <w:bCs w:val="false"/>
                <w:sz w:val="20"/>
                <w:szCs w:val="20"/>
              </w:rPr>
              <w:t xml:space="preserve">Enablement and handover</w:t>
            </w:r>
          </w:p>
        </w:tc>
        <w:tc>
          <w:p>
            <w:r>
              <w:rPr>
                <w:b w:val="false"/>
                <w:bCs w:val="false"/>
                <w:sz w:val="20"/>
                <w:szCs w:val="20"/>
              </w:rPr>
              <w:t xml:space="preserve">Fixed fee for the refresh procedure and owner training</w:t>
            </w:r>
          </w:p>
        </w:tc>
        <w:tc>
          <w:p>
            <w:r>
              <w:rPr>
                <w:b w:val="false"/>
                <w:bCs w:val="false"/>
                <w:sz w:val="20"/>
                <w:szCs w:val="20"/>
              </w:rPr>
              <w:t xml:space="preserve">[AMOUNT]</w:t>
            </w:r>
          </w:p>
        </w:tc>
        <w:tc>
          <w:p>
            <w:r>
              <w:rPr>
                <w:b w:val="false"/>
                <w:bCs w:val="false"/>
                <w:sz w:val="20"/>
                <w:szCs w:val="20"/>
              </w:rPr>
              <w:t xml:space="preserve">[AMOUNT]</w:t>
            </w:r>
          </w:p>
        </w:tc>
        <w:tc>
          <w:p>
            <w:r>
              <w:rPr>
                <w:b w:val="false"/>
                <w:bCs w:val="false"/>
                <w:sz w:val="20"/>
                <w:szCs w:val="20"/>
              </w:rPr>
              <w:t xml:space="preserve">[AMOUNT]</w:t>
            </w:r>
          </w:p>
        </w:tc>
      </w:tr>
      <w:tr>
        <w:tc>
          <w:p>
            <w:r>
              <w:rPr>
                <w:b w:val="false"/>
                <w:bCs w:val="false"/>
                <w:sz w:val="20"/>
                <w:szCs w:val="20"/>
              </w:rPr>
              <w:t xml:space="preserve">Travel, if requested</w:t>
            </w:r>
          </w:p>
        </w:tc>
        <w:tc>
          <w:p>
            <w:r>
              <w:rPr>
                <w:b w:val="false"/>
                <w:bCs w:val="false"/>
                <w:sz w:val="20"/>
                <w:szCs w:val="20"/>
              </w:rPr>
              <w:t xml:space="preserve">At cost, agreed in advance and only where onsite work is requested</w:t>
            </w:r>
          </w:p>
        </w:tc>
        <w:tc>
          <w:p>
            <w:r>
              <w:rPr>
                <w:b w:val="false"/>
                <w:bCs w:val="false"/>
                <w:sz w:val="20"/>
                <w:szCs w:val="20"/>
              </w:rPr>
              <w:t xml:space="preserve">[AMOUNT]</w:t>
            </w:r>
          </w:p>
        </w:tc>
        <w:tc>
          <w:p>
            <w:r>
              <w:rPr>
                <w:b w:val="false"/>
                <w:bCs w:val="false"/>
                <w:sz w:val="20"/>
                <w:szCs w:val="20"/>
              </w:rPr>
              <w:t xml:space="preserve">[AMOUNT]</w:t>
            </w:r>
          </w:p>
        </w:tc>
        <w:tc>
          <w:p>
            <w:r>
              <w:rPr>
                <w:b w:val="false"/>
                <w:bCs w:val="false"/>
                <w:sz w:val="20"/>
                <w:szCs w:val="20"/>
              </w:rPr>
              <w:t xml:space="preserve">[AMOUNT]</w:t>
            </w:r>
          </w:p>
        </w:tc>
      </w:tr>
    </w:tbl>
    <w:p>
      <w:pPr>
        <w:pStyle w:val="Heading3"/>
        <w:spacing w:after="100" w:before="200"/>
      </w:pPr>
      <w:r>
        <w:rPr>
          <w:b/>
          <w:bCs/>
        </w:rPr>
        <w:t xml:space="preserve">Justification by line</w:t>
      </w:r>
    </w:p>
    <w:p>
      <w:pPr>
        <w:spacing w:after="120"/>
      </w:pPr>
      <w:r>
        <w:t xml:space="preserve">Senior advisory time covers the framing work that decides what the model must answer. Without it the model measures the wrong thing. Risk modeling and quantification is the core analytical effort, and the level of effort scales with the number of loss scenarios agreed in scope. Control and data analysis is required because exposure ranges are only defensible when the control assumptions behind them are tested rather than asserted. Board and executive reporting converts the analysis into a decision pack an audit committee can act on. Enablement and handover exists so the organization owns the model afterwards and is not dependent on an external party to re-measure.</w:t>
      </w:r>
    </w:p>
    <w:p>
      <w:pPr>
        <w:pStyle w:val="Heading3"/>
        <w:spacing w:after="100" w:before="200"/>
      </w:pPr>
      <w:r>
        <w:rPr>
          <w:b/>
          <w:bCs/>
        </w:rPr>
        <w:t xml:space="preserve">Commercial principles</w:t>
      </w:r>
    </w:p>
    <w:p>
      <w:pPr>
        <w:spacing w:after="120"/>
      </w:pPr>
      <w:r>
        <w:t xml:space="preserve">All fees are fixed and written before work begins. There is no percentage of budget, percentage of award, or contingent pricing. Travel is only charged at cost where onsite work is requested. Re-measurement is priced as a defined cycle rather than an open retainer unless the client prefers a retainer.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2026-09-21T19:30:16.693Z</dcterms:created>
  <dcterms:modified xsi:type="dcterms:W3CDTF">2026-09-21T19:30:16.693Z</dcterms:modified>
</cp:coreProperties>
</file>

<file path=docProps/custom.xml><?xml version="1.0" encoding="utf-8"?>
<Properties xmlns="http://schemas.openxmlformats.org/officeDocument/2006/custom-properties" xmlns:vt="http://schemas.openxmlformats.org/officeDocument/2006/docPropsVTypes"/>
</file>